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105" w:rsidRDefault="00273105" w:rsidP="0027310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E41AA" w:rsidRDefault="007923BA" w:rsidP="002731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3E41AA" w:rsidRDefault="007923BA" w:rsidP="002731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situation in Florida reflects on the levels of preparedness of the national and federal governments to mitigate national disasters. Hurricane Irma gave a clear picture of the inability of Florida to respond to calamities effectively; therefore, public health is at stake. The death of fourteen elderly persons could have been avoided in case comprehensive power plans existed within the nursing facilities. The safety framework adopted should promote the safety and wellbeing of the resident patients. Also, Medicaid and Medicare services do not provide extensive coverage plans that offer benefits to victims of natural disasters. In this regard, home facilities should align their emergency strategies with the needs of the patients and institutional capabilities. </w:t>
      </w:r>
    </w:p>
    <w:p w:rsidR="003E41AA" w:rsidRDefault="003E41AA" w:rsidP="00273105">
      <w:pPr>
        <w:spacing w:after="0" w:line="480" w:lineRule="auto"/>
        <w:jc w:val="center"/>
        <w:rPr>
          <w:rFonts w:ascii="Times New Roman" w:hAnsi="Times New Roman" w:cs="Times New Roman"/>
          <w:sz w:val="24"/>
          <w:szCs w:val="24"/>
        </w:rPr>
      </w:pPr>
    </w:p>
    <w:p w:rsidR="00273105" w:rsidRDefault="00273105" w:rsidP="0027310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3E41AA" w:rsidRDefault="007923BA" w:rsidP="002731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Health </w:t>
      </w:r>
      <w:r w:rsidR="004713AF">
        <w:rPr>
          <w:rFonts w:ascii="Times New Roman" w:hAnsi="Times New Roman" w:cs="Times New Roman"/>
          <w:sz w:val="24"/>
          <w:szCs w:val="24"/>
        </w:rPr>
        <w:t xml:space="preserve">Step </w:t>
      </w:r>
      <w:r>
        <w:rPr>
          <w:rFonts w:ascii="Times New Roman" w:hAnsi="Times New Roman" w:cs="Times New Roman"/>
          <w:sz w:val="24"/>
          <w:szCs w:val="24"/>
        </w:rPr>
        <w:t>Policy</w:t>
      </w:r>
      <w:r w:rsidR="004713AF">
        <w:rPr>
          <w:rFonts w:ascii="Times New Roman" w:hAnsi="Times New Roman" w:cs="Times New Roman"/>
          <w:sz w:val="24"/>
          <w:szCs w:val="24"/>
        </w:rPr>
        <w:t xml:space="preserve"> Paper</w:t>
      </w:r>
    </w:p>
    <w:p w:rsidR="004713AF" w:rsidRDefault="000E58D1" w:rsidP="002731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Fourteen elderly persons died after being exposed to heat while residing at their nursing premises after Hurricane Irma caused a power outage. The hurricane affected most parts of Southern Florida causing floods that led to death to the nursing home victims. The cause of concern is that Florida has no evacuation framework for such emergencies. In this regard, the patients ought to have been evacuated and transported to other nursing homes within the neighborhood. The calamity provided evidence of the state’s unpreparedness to deal with natural disasters that are likely to affect </w:t>
      </w:r>
      <w:r w:rsidR="00EC77BC">
        <w:rPr>
          <w:rFonts w:ascii="Times New Roman" w:hAnsi="Times New Roman" w:cs="Times New Roman"/>
          <w:sz w:val="24"/>
          <w:szCs w:val="24"/>
        </w:rPr>
        <w:t xml:space="preserve">demographics such as elderly persons. President Trump declared the occurrence in Florida a state emergency (MLN Matters, 2017). </w:t>
      </w:r>
      <w:r w:rsidR="002E00BF">
        <w:rPr>
          <w:rFonts w:ascii="Times New Roman" w:hAnsi="Times New Roman" w:cs="Times New Roman"/>
          <w:sz w:val="24"/>
          <w:szCs w:val="24"/>
        </w:rPr>
        <w:t xml:space="preserve"> The state of Georgia is facing public health problems due to its inability to protect elderly persons during such disasters.</w:t>
      </w:r>
      <w:r w:rsidR="00CB5EE6">
        <w:rPr>
          <w:rFonts w:ascii="Times New Roman" w:hAnsi="Times New Roman" w:cs="Times New Roman"/>
          <w:sz w:val="24"/>
          <w:szCs w:val="24"/>
        </w:rPr>
        <w:t xml:space="preserve"> Medicaid coverage does not extend </w:t>
      </w:r>
      <w:r w:rsidR="00535889">
        <w:rPr>
          <w:rFonts w:ascii="Times New Roman" w:hAnsi="Times New Roman" w:cs="Times New Roman"/>
          <w:sz w:val="24"/>
          <w:szCs w:val="24"/>
        </w:rPr>
        <w:t>to affected persons in nursing homes</w:t>
      </w:r>
      <w:r w:rsidR="00141DBF">
        <w:rPr>
          <w:rFonts w:ascii="Times New Roman" w:hAnsi="Times New Roman" w:cs="Times New Roman"/>
          <w:sz w:val="24"/>
          <w:szCs w:val="24"/>
        </w:rPr>
        <w:t>; therefore, there are no comprehensive benefit plans</w:t>
      </w:r>
      <w:r w:rsidR="00535889">
        <w:rPr>
          <w:rFonts w:ascii="Times New Roman" w:hAnsi="Times New Roman" w:cs="Times New Roman"/>
          <w:sz w:val="24"/>
          <w:szCs w:val="24"/>
        </w:rPr>
        <w:t xml:space="preserve">. </w:t>
      </w:r>
      <w:r w:rsidR="00CB5EE6">
        <w:rPr>
          <w:rFonts w:ascii="Times New Roman" w:hAnsi="Times New Roman" w:cs="Times New Roman"/>
          <w:sz w:val="24"/>
          <w:szCs w:val="24"/>
        </w:rPr>
        <w:t>Thus, the safety of elderly persons is not g</w:t>
      </w:r>
      <w:r w:rsidR="00535889">
        <w:rPr>
          <w:rFonts w:ascii="Times New Roman" w:hAnsi="Times New Roman" w:cs="Times New Roman"/>
          <w:sz w:val="24"/>
          <w:szCs w:val="24"/>
        </w:rPr>
        <w:t>uaranteed in the nursing homes.</w:t>
      </w:r>
    </w:p>
    <w:p w:rsidR="002E00BF" w:rsidRDefault="00F210C4" w:rsidP="002731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F42CED">
        <w:rPr>
          <w:rFonts w:ascii="Times New Roman" w:hAnsi="Times New Roman" w:cs="Times New Roman"/>
          <w:sz w:val="24"/>
          <w:szCs w:val="24"/>
        </w:rPr>
        <w:t>emergency response crisis in F</w:t>
      </w:r>
      <w:r w:rsidR="005A0237">
        <w:rPr>
          <w:rFonts w:ascii="Times New Roman" w:hAnsi="Times New Roman" w:cs="Times New Roman"/>
          <w:sz w:val="24"/>
          <w:szCs w:val="24"/>
        </w:rPr>
        <w:t xml:space="preserve">lorida can be resolved by ensuring that nursing homes have temporary </w:t>
      </w:r>
      <w:r w:rsidR="00706F60">
        <w:rPr>
          <w:rFonts w:ascii="Times New Roman" w:hAnsi="Times New Roman" w:cs="Times New Roman"/>
          <w:sz w:val="24"/>
          <w:szCs w:val="24"/>
        </w:rPr>
        <w:t xml:space="preserve">emergency coverage to the affected victims. </w:t>
      </w:r>
      <w:r w:rsidR="00CB5EE6">
        <w:rPr>
          <w:rFonts w:ascii="Times New Roman" w:hAnsi="Times New Roman" w:cs="Times New Roman"/>
          <w:sz w:val="24"/>
          <w:szCs w:val="24"/>
        </w:rPr>
        <w:t xml:space="preserve">Consequently, </w:t>
      </w:r>
      <w:r w:rsidR="005611F3">
        <w:rPr>
          <w:rFonts w:ascii="Times New Roman" w:hAnsi="Times New Roman" w:cs="Times New Roman"/>
          <w:sz w:val="24"/>
          <w:szCs w:val="24"/>
        </w:rPr>
        <w:t xml:space="preserve">elderly persons who are evacuated or transferred due to natural calamities </w:t>
      </w:r>
      <w:r w:rsidR="00CB5EE6">
        <w:rPr>
          <w:rFonts w:ascii="Times New Roman" w:hAnsi="Times New Roman" w:cs="Times New Roman"/>
          <w:sz w:val="24"/>
          <w:szCs w:val="24"/>
        </w:rPr>
        <w:t xml:space="preserve">will be kept in safe home facilities. Also, there should be stipulations that </w:t>
      </w:r>
      <w:r w:rsidR="00535889">
        <w:rPr>
          <w:rFonts w:ascii="Times New Roman" w:hAnsi="Times New Roman" w:cs="Times New Roman"/>
          <w:sz w:val="24"/>
          <w:szCs w:val="24"/>
        </w:rPr>
        <w:t xml:space="preserve">cover elderly persons </w:t>
      </w:r>
      <w:r w:rsidR="001D7CD0">
        <w:rPr>
          <w:rFonts w:ascii="Times New Roman" w:hAnsi="Times New Roman" w:cs="Times New Roman"/>
          <w:sz w:val="24"/>
          <w:szCs w:val="24"/>
        </w:rPr>
        <w:t>such as Skilled Nursing Facility (SNF) benefits</w:t>
      </w:r>
      <w:r w:rsidR="00E6275A">
        <w:rPr>
          <w:rFonts w:ascii="Times New Roman" w:hAnsi="Times New Roman" w:cs="Times New Roman"/>
          <w:sz w:val="24"/>
          <w:szCs w:val="24"/>
        </w:rPr>
        <w:t xml:space="preserve"> (MLN Matters, 2017)</w:t>
      </w:r>
      <w:r w:rsidR="001D7CD0">
        <w:rPr>
          <w:rFonts w:ascii="Times New Roman" w:hAnsi="Times New Roman" w:cs="Times New Roman"/>
          <w:sz w:val="24"/>
          <w:szCs w:val="24"/>
        </w:rPr>
        <w:t xml:space="preserve">. </w:t>
      </w:r>
      <w:r w:rsidR="00353A57">
        <w:rPr>
          <w:rFonts w:ascii="Times New Roman" w:hAnsi="Times New Roman" w:cs="Times New Roman"/>
          <w:sz w:val="24"/>
          <w:szCs w:val="24"/>
        </w:rPr>
        <w:t xml:space="preserve">The SNF coverage should be renewed by creating blanket waivers to provide relief services to affected homes. </w:t>
      </w:r>
      <w:r w:rsidR="006D07A6">
        <w:rPr>
          <w:rFonts w:ascii="Times New Roman" w:hAnsi="Times New Roman" w:cs="Times New Roman"/>
          <w:sz w:val="24"/>
          <w:szCs w:val="24"/>
        </w:rPr>
        <w:t xml:space="preserve"> Consequently, </w:t>
      </w:r>
      <w:r w:rsidR="00035E48">
        <w:rPr>
          <w:rFonts w:ascii="Times New Roman" w:hAnsi="Times New Roman" w:cs="Times New Roman"/>
          <w:sz w:val="24"/>
          <w:szCs w:val="24"/>
        </w:rPr>
        <w:t xml:space="preserve">the </w:t>
      </w:r>
      <w:r w:rsidR="00E6275A">
        <w:rPr>
          <w:rFonts w:ascii="Times New Roman" w:hAnsi="Times New Roman" w:cs="Times New Roman"/>
          <w:sz w:val="24"/>
          <w:szCs w:val="24"/>
        </w:rPr>
        <w:t>congestion within the homes will be reduced and the number of beds limited to the stipulated requirements. In this regard, during natural calamities, the available emergency resources can adequately cater for the needs of the patients. Also, the blanket waivers should ensure specialized care homes are distinct units from the proposed healthcare infrastructure. Consequently, beds will be made available for acute care inpatients to avoid confusion during evacuation processes.</w:t>
      </w:r>
    </w:p>
    <w:p w:rsidR="00141DBF" w:rsidRDefault="007923BA" w:rsidP="002731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holistic solutions </w:t>
      </w:r>
      <w:r w:rsidR="006E0DB7">
        <w:rPr>
          <w:rFonts w:ascii="Times New Roman" w:hAnsi="Times New Roman" w:cs="Times New Roman"/>
          <w:sz w:val="24"/>
          <w:szCs w:val="24"/>
        </w:rPr>
        <w:t>will ensure capacity requirements of the homes are met and benefit various eligible stakeholders such as elderly persons.</w:t>
      </w:r>
      <w:r w:rsidR="008F136D">
        <w:rPr>
          <w:rFonts w:ascii="Times New Roman" w:hAnsi="Times New Roman" w:cs="Times New Roman"/>
          <w:sz w:val="24"/>
          <w:szCs w:val="24"/>
        </w:rPr>
        <w:t xml:space="preserve"> Also, the blanket waiver should cover elderly persons suffering from psychiatric disorders to enable ease of transportation of patients to special care units during emergencies. A</w:t>
      </w:r>
      <w:r w:rsidR="001D1E5F">
        <w:rPr>
          <w:rFonts w:ascii="Times New Roman" w:hAnsi="Times New Roman" w:cs="Times New Roman"/>
          <w:sz w:val="24"/>
          <w:szCs w:val="24"/>
        </w:rPr>
        <w:t>dditionally</w:t>
      </w:r>
      <w:r w:rsidR="008F136D">
        <w:rPr>
          <w:rFonts w:ascii="Times New Roman" w:hAnsi="Times New Roman" w:cs="Times New Roman"/>
          <w:sz w:val="24"/>
          <w:szCs w:val="24"/>
        </w:rPr>
        <w:t>, the nursing homes should provide favorable heal</w:t>
      </w:r>
      <w:r w:rsidR="00FD3464">
        <w:rPr>
          <w:rFonts w:ascii="Times New Roman" w:hAnsi="Times New Roman" w:cs="Times New Roman"/>
          <w:sz w:val="24"/>
          <w:szCs w:val="24"/>
        </w:rPr>
        <w:t>thcare environment to rehabilitation inpatients and enable continuous intensive services</w:t>
      </w:r>
      <w:r w:rsidR="001D1E5F">
        <w:rPr>
          <w:rFonts w:ascii="Times New Roman" w:hAnsi="Times New Roman" w:cs="Times New Roman"/>
          <w:sz w:val="24"/>
          <w:szCs w:val="24"/>
        </w:rPr>
        <w:t xml:space="preserve"> (MLN Matters, 2017)</w:t>
      </w:r>
      <w:r w:rsidR="008F136D">
        <w:rPr>
          <w:rFonts w:ascii="Times New Roman" w:hAnsi="Times New Roman" w:cs="Times New Roman"/>
          <w:sz w:val="24"/>
          <w:szCs w:val="24"/>
        </w:rPr>
        <w:t>. Patient safety can also be promoted by evaluating the locations of nursing homes</w:t>
      </w:r>
      <w:r>
        <w:rPr>
          <w:rFonts w:ascii="Times New Roman" w:hAnsi="Times New Roman" w:cs="Times New Roman"/>
          <w:sz w:val="24"/>
          <w:szCs w:val="24"/>
        </w:rPr>
        <w:t xml:space="preserve"> and strive to mitigate health risks from calamities such as Hurricane Irma. Besides, the bed area should be assessed to avoid inflicting harm on acute care patients and minimize injuries on the patients.  </w:t>
      </w:r>
    </w:p>
    <w:p w:rsidR="00E6275A" w:rsidRDefault="00FD3464" w:rsidP="002731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797653">
        <w:rPr>
          <w:rFonts w:ascii="Times New Roman" w:hAnsi="Times New Roman" w:cs="Times New Roman"/>
          <w:sz w:val="24"/>
          <w:szCs w:val="24"/>
        </w:rPr>
        <w:t>he national government</w:t>
      </w:r>
      <w:r w:rsidR="001D1E5F">
        <w:rPr>
          <w:rFonts w:ascii="Times New Roman" w:hAnsi="Times New Roman" w:cs="Times New Roman"/>
          <w:sz w:val="24"/>
          <w:szCs w:val="24"/>
        </w:rPr>
        <w:t xml:space="preserve"> should ensure that every nursing home should have a detailed power plan to supplement the existing energy frameworks</w:t>
      </w:r>
      <w:r w:rsidR="00797653">
        <w:rPr>
          <w:rFonts w:ascii="Times New Roman" w:hAnsi="Times New Roman" w:cs="Times New Roman"/>
          <w:sz w:val="24"/>
          <w:szCs w:val="24"/>
        </w:rPr>
        <w:t>. The additional power infrastructure will provide emergency power is available in cases of outages</w:t>
      </w:r>
      <w:r w:rsidR="008A6E3A">
        <w:rPr>
          <w:rFonts w:ascii="Times New Roman" w:hAnsi="Times New Roman" w:cs="Times New Roman"/>
          <w:sz w:val="24"/>
          <w:szCs w:val="24"/>
        </w:rPr>
        <w:t xml:space="preserve"> (594A-4.118, 2015)</w:t>
      </w:r>
      <w:r w:rsidR="00797653">
        <w:rPr>
          <w:rFonts w:ascii="Times New Roman" w:hAnsi="Times New Roman" w:cs="Times New Roman"/>
          <w:sz w:val="24"/>
          <w:szCs w:val="24"/>
        </w:rPr>
        <w:t>. Conversely, the state government should ensure that each nursing home to have written plans that stipulate the measures to be t</w:t>
      </w:r>
      <w:r w:rsidR="008A6E3A">
        <w:rPr>
          <w:rFonts w:ascii="Times New Roman" w:hAnsi="Times New Roman" w:cs="Times New Roman"/>
          <w:sz w:val="24"/>
          <w:szCs w:val="24"/>
        </w:rPr>
        <w:t xml:space="preserve">aken during external emergencies (59A-4.1265, 2018) </w:t>
      </w:r>
      <w:r w:rsidR="00797653">
        <w:rPr>
          <w:rFonts w:ascii="Times New Roman" w:hAnsi="Times New Roman" w:cs="Times New Roman"/>
          <w:sz w:val="24"/>
          <w:szCs w:val="24"/>
        </w:rPr>
        <w:t>In this regard, the state should make it compulsory for nursing homes to acquire alternative po</w:t>
      </w:r>
      <w:r w:rsidR="008A6E3A">
        <w:rPr>
          <w:rFonts w:ascii="Times New Roman" w:hAnsi="Times New Roman" w:cs="Times New Roman"/>
          <w:sz w:val="24"/>
          <w:szCs w:val="24"/>
        </w:rPr>
        <w:t xml:space="preserve">wer sources such as generators to ensure safety, comfort, and wellbeing of resident patients. From the federal standpoint, the plans should succinctly explain how inpatients will be evacuated safely and account for each patient within the facility. </w:t>
      </w:r>
      <w:r w:rsidR="00B1353C">
        <w:rPr>
          <w:rFonts w:ascii="Times New Roman" w:hAnsi="Times New Roman" w:cs="Times New Roman"/>
          <w:sz w:val="24"/>
          <w:szCs w:val="24"/>
        </w:rPr>
        <w:t xml:space="preserve">The two policy solutions are similar since they boost emergency operational preparedness </w:t>
      </w:r>
      <w:r w:rsidR="00BE40C6">
        <w:rPr>
          <w:rFonts w:ascii="Times New Roman" w:hAnsi="Times New Roman" w:cs="Times New Roman"/>
          <w:sz w:val="24"/>
          <w:szCs w:val="24"/>
        </w:rPr>
        <w:t>that will enable evacuation of resident patients within the shortest time possible. The national policy will ensure that optimal temperatures are maintained within nursing homes which are supposed to have sufficient spaces to meet the safety threshold. On the other hand, the federal policies will ensure the safety of the patients within the receiving and sending facilities.</w:t>
      </w:r>
    </w:p>
    <w:p w:rsidR="004713AF" w:rsidRDefault="00740417" w:rsidP="002731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 recommend the national policy on comprehensive power plans be implemented since it will ensure safe temperatures within the nursing premises. Also, allocating adequate spaces for care home services will enable these facilities to meet the physical and the mental needs of the patients. Size is crucial since it affects the efficiency of clinical interventions and coordination of staff.  Mostly, nursing homes that are pursuant to evacuation zone requirements will avail alternative fuel and power sources that provide illumination during transfer and rescue operations. The policy will also foster collaborative efforts between care facilities with particular environs </w:t>
      </w:r>
      <w:r w:rsidR="00FC3A94">
        <w:rPr>
          <w:rFonts w:ascii="Times New Roman" w:hAnsi="Times New Roman" w:cs="Times New Roman"/>
          <w:sz w:val="24"/>
          <w:szCs w:val="24"/>
        </w:rPr>
        <w:t>to share power and resident spaces. Lastly, multistory healthcare facilities will enable evacuation units to move elderly persons to higher floors in case of emergencies such as floods.</w:t>
      </w:r>
    </w:p>
    <w:p w:rsidR="00FC3A94" w:rsidRPr="004713AF" w:rsidRDefault="007923BA" w:rsidP="002731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solution will use different measurable such as the duration taken to make successful evacuations and the number of resident patients that survive</w:t>
      </w:r>
      <w:r w:rsidR="003E41AA">
        <w:rPr>
          <w:rFonts w:ascii="Times New Roman" w:hAnsi="Times New Roman" w:cs="Times New Roman"/>
          <w:sz w:val="24"/>
          <w:szCs w:val="24"/>
        </w:rPr>
        <w:t xml:space="preserve"> the Department of Elder Affairs, n. d)</w:t>
      </w:r>
      <w:r>
        <w:rPr>
          <w:rFonts w:ascii="Times New Roman" w:hAnsi="Times New Roman" w:cs="Times New Roman"/>
          <w:sz w:val="24"/>
          <w:szCs w:val="24"/>
        </w:rPr>
        <w:t>. The timelines for transfer to safer zones such as high floors and safe location will reflect on the efficiency of the solution. Also, since ensuring the safety and the wellbeing of the inpatients is our main priority, the number of patients that sustain physical injuries or even death should be reduced. In this regard, the patient can use planning strategies that not only meet the requirements of the patients but also ensure optimal healthcare outcome.</w:t>
      </w:r>
    </w:p>
    <w:p w:rsidR="004713AF" w:rsidRPr="004713AF" w:rsidRDefault="004713AF" w:rsidP="00273105">
      <w:pPr>
        <w:spacing w:after="0" w:line="480" w:lineRule="auto"/>
        <w:rPr>
          <w:rFonts w:ascii="Times New Roman" w:hAnsi="Times New Roman" w:cs="Times New Roman"/>
          <w:sz w:val="24"/>
          <w:szCs w:val="24"/>
        </w:rPr>
      </w:pPr>
    </w:p>
    <w:p w:rsidR="00273105" w:rsidRDefault="00273105">
      <w:pPr>
        <w:rPr>
          <w:rFonts w:ascii="Times New Roman" w:hAnsi="Times New Roman" w:cs="Times New Roman"/>
          <w:sz w:val="24"/>
          <w:szCs w:val="24"/>
        </w:rPr>
      </w:pPr>
      <w:r>
        <w:rPr>
          <w:rFonts w:ascii="Times New Roman" w:hAnsi="Times New Roman" w:cs="Times New Roman"/>
          <w:sz w:val="24"/>
          <w:szCs w:val="24"/>
        </w:rPr>
        <w:br w:type="page"/>
      </w:r>
    </w:p>
    <w:p w:rsidR="004713AF" w:rsidRDefault="007923BA" w:rsidP="002731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73105" w:rsidRDefault="00273105" w:rsidP="0027310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59A-4.126. (2015). Disaster preparedness. Florida Administrative Code and Florida Administrative Register. Florida Department of State. Retrieved from  </w:t>
      </w:r>
      <w:hyperlink r:id="rId6" w:history="1">
        <w:r w:rsidRPr="00BE1275">
          <w:rPr>
            <w:rStyle w:val="Hyperlink"/>
            <w:rFonts w:ascii="Times New Roman" w:hAnsi="Times New Roman" w:cs="Times New Roman"/>
            <w:sz w:val="24"/>
            <w:szCs w:val="24"/>
          </w:rPr>
          <w:t>https://www.flrules.org/gateway/ChapterHome.asp?Chapter=59A-4</w:t>
        </w:r>
      </w:hyperlink>
    </w:p>
    <w:p w:rsidR="00273105" w:rsidRDefault="00273105" w:rsidP="0027310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59A-4.1265. (2018). Emergency environmental control for nursing homes. Florida Administrative Code and Florida Administrative Register. Florida Department of State. Retrieved from </w:t>
      </w:r>
      <w:hyperlink r:id="rId7" w:history="1">
        <w:r w:rsidRPr="00BE1275">
          <w:rPr>
            <w:rStyle w:val="Hyperlink"/>
            <w:rFonts w:ascii="Times New Roman" w:hAnsi="Times New Roman" w:cs="Times New Roman"/>
            <w:sz w:val="24"/>
            <w:szCs w:val="24"/>
          </w:rPr>
          <w:t>https://www.flrules.org/gateway/ChapterHome.asp?Chapter=59A-</w:t>
        </w:r>
      </w:hyperlink>
      <w:r w:rsidRPr="002F6592">
        <w:rPr>
          <w:rFonts w:ascii="Times New Roman" w:hAnsi="Times New Roman" w:cs="Times New Roman"/>
          <w:sz w:val="24"/>
          <w:szCs w:val="24"/>
        </w:rPr>
        <w:t>4</w:t>
      </w:r>
    </w:p>
    <w:p w:rsidR="00273105" w:rsidRDefault="00273105" w:rsidP="0027310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Department of Elder Affairs. (n. d). Nursing homes. Retrieved from </w:t>
      </w:r>
      <w:hyperlink r:id="rId8" w:history="1">
        <w:r w:rsidRPr="00BE1275">
          <w:rPr>
            <w:rStyle w:val="Hyperlink"/>
            <w:rFonts w:ascii="Times New Roman" w:hAnsi="Times New Roman" w:cs="Times New Roman"/>
            <w:sz w:val="24"/>
            <w:szCs w:val="24"/>
          </w:rPr>
          <w:t>http://elderaffairs.state.fl.us/doea/nh.php</w:t>
        </w:r>
      </w:hyperlink>
    </w:p>
    <w:p w:rsidR="00273105" w:rsidRDefault="00273105" w:rsidP="0027310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MLN Matters. (2017). Hurricane Irma and Medicare disaster related to South Carolina and Georgia claims. CMS.gov. Retrieved from </w:t>
      </w:r>
      <w:hyperlink r:id="rId9" w:history="1">
        <w:r w:rsidRPr="00BE1275">
          <w:rPr>
            <w:rStyle w:val="Hyperlink"/>
            <w:rFonts w:ascii="Times New Roman" w:hAnsi="Times New Roman" w:cs="Times New Roman"/>
            <w:sz w:val="24"/>
            <w:szCs w:val="24"/>
          </w:rPr>
          <w:t>https://www.cms.gov/Outreach-and-Education/Medicare-Learning-Network-MLN/MLNMattersArticles/downloads/SE17024.pdf</w:t>
        </w:r>
      </w:hyperlink>
    </w:p>
    <w:p w:rsidR="001A2EC6" w:rsidRPr="004713AF" w:rsidRDefault="001A2EC6" w:rsidP="00273105">
      <w:pPr>
        <w:spacing w:after="0" w:line="480" w:lineRule="auto"/>
        <w:rPr>
          <w:rFonts w:ascii="Times New Roman" w:hAnsi="Times New Roman" w:cs="Times New Roman"/>
          <w:sz w:val="24"/>
          <w:szCs w:val="24"/>
        </w:rPr>
      </w:pPr>
    </w:p>
    <w:p w:rsidR="004713AF" w:rsidRP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80412D" w:rsidRDefault="0080412D"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Default="004713AF" w:rsidP="00273105">
      <w:pPr>
        <w:spacing w:after="0" w:line="480" w:lineRule="auto"/>
        <w:rPr>
          <w:rFonts w:ascii="Times New Roman" w:hAnsi="Times New Roman" w:cs="Times New Roman"/>
          <w:sz w:val="24"/>
          <w:szCs w:val="24"/>
        </w:rPr>
      </w:pPr>
    </w:p>
    <w:p w:rsidR="004713AF" w:rsidRPr="004713AF" w:rsidRDefault="004713AF" w:rsidP="00273105">
      <w:pPr>
        <w:spacing w:after="0" w:line="480" w:lineRule="auto"/>
        <w:rPr>
          <w:rFonts w:ascii="Times New Roman" w:hAnsi="Times New Roman" w:cs="Times New Roman"/>
          <w:sz w:val="24"/>
          <w:szCs w:val="24"/>
        </w:rPr>
      </w:pPr>
    </w:p>
    <w:sectPr w:rsidR="004713AF" w:rsidRPr="004713AF" w:rsidSect="00422B6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AAE" w:rsidRDefault="00061AAE">
      <w:pPr>
        <w:spacing w:after="0" w:line="240" w:lineRule="auto"/>
      </w:pPr>
      <w:r>
        <w:separator/>
      </w:r>
    </w:p>
  </w:endnote>
  <w:endnote w:type="continuationSeparator" w:id="0">
    <w:p w:rsidR="00061AAE" w:rsidRDefault="00061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AAE" w:rsidRDefault="00061AAE">
      <w:pPr>
        <w:spacing w:after="0" w:line="240" w:lineRule="auto"/>
      </w:pPr>
      <w:r>
        <w:separator/>
      </w:r>
    </w:p>
  </w:footnote>
  <w:footnote w:type="continuationSeparator" w:id="0">
    <w:p w:rsidR="00061AAE" w:rsidRDefault="00061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3AF" w:rsidRPr="004713AF" w:rsidRDefault="007923BA" w:rsidP="004713AF">
    <w:pPr>
      <w:pStyle w:val="Header"/>
      <w:spacing w:line="480" w:lineRule="auto"/>
      <w:rPr>
        <w:rFonts w:ascii="Times New Roman" w:hAnsi="Times New Roman" w:cs="Times New Roman"/>
        <w:sz w:val="24"/>
        <w:szCs w:val="24"/>
      </w:rPr>
    </w:pPr>
    <w:r w:rsidRPr="004713AF">
      <w:rPr>
        <w:rFonts w:ascii="Times New Roman" w:hAnsi="Times New Roman" w:cs="Times New Roman"/>
        <w:sz w:val="24"/>
        <w:szCs w:val="24"/>
      </w:rPr>
      <w:t>HEALTH POLICY</w:t>
    </w:r>
    <w:r>
      <w:rPr>
        <w:rFonts w:ascii="Times New Roman" w:hAnsi="Times New Roman" w:cs="Times New Roman"/>
        <w:sz w:val="24"/>
        <w:szCs w:val="24"/>
      </w:rPr>
      <w:tab/>
    </w:r>
    <w:r>
      <w:rPr>
        <w:rFonts w:ascii="Times New Roman" w:hAnsi="Times New Roman" w:cs="Times New Roman"/>
        <w:sz w:val="24"/>
        <w:szCs w:val="24"/>
      </w:rPr>
      <w:tab/>
    </w:r>
    <w:r w:rsidRPr="004713AF">
      <w:rPr>
        <w:rFonts w:ascii="Times New Roman" w:hAnsi="Times New Roman" w:cs="Times New Roman"/>
        <w:sz w:val="24"/>
        <w:szCs w:val="24"/>
      </w:rPr>
      <w:t xml:space="preserve"> </w:t>
    </w:r>
    <w:sdt>
      <w:sdtPr>
        <w:rPr>
          <w:rFonts w:ascii="Times New Roman" w:hAnsi="Times New Roman" w:cs="Times New Roman"/>
          <w:sz w:val="24"/>
          <w:szCs w:val="24"/>
        </w:rPr>
        <w:id w:val="-1972892072"/>
        <w:docPartObj>
          <w:docPartGallery w:val="Page Numbers (Top of Page)"/>
          <w:docPartUnique/>
        </w:docPartObj>
      </w:sdtPr>
      <w:sdtEndPr>
        <w:rPr>
          <w:noProof/>
        </w:rPr>
      </w:sdtEndPr>
      <w:sdtContent>
        <w:r w:rsidRPr="004713AF">
          <w:rPr>
            <w:rFonts w:ascii="Times New Roman" w:hAnsi="Times New Roman" w:cs="Times New Roman"/>
            <w:sz w:val="24"/>
            <w:szCs w:val="24"/>
          </w:rPr>
          <w:fldChar w:fldCharType="begin"/>
        </w:r>
        <w:r w:rsidRPr="004713AF">
          <w:rPr>
            <w:rFonts w:ascii="Times New Roman" w:hAnsi="Times New Roman" w:cs="Times New Roman"/>
            <w:sz w:val="24"/>
            <w:szCs w:val="24"/>
          </w:rPr>
          <w:instrText xml:space="preserve"> PAGE   \* MERGEFORMAT </w:instrText>
        </w:r>
        <w:r w:rsidRPr="004713AF">
          <w:rPr>
            <w:rFonts w:ascii="Times New Roman" w:hAnsi="Times New Roman" w:cs="Times New Roman"/>
            <w:sz w:val="24"/>
            <w:szCs w:val="24"/>
          </w:rPr>
          <w:fldChar w:fldCharType="separate"/>
        </w:r>
        <w:r w:rsidR="00BF130A">
          <w:rPr>
            <w:rFonts w:ascii="Times New Roman" w:hAnsi="Times New Roman" w:cs="Times New Roman"/>
            <w:noProof/>
            <w:sz w:val="24"/>
            <w:szCs w:val="24"/>
          </w:rPr>
          <w:t>7</w:t>
        </w:r>
        <w:r w:rsidRPr="004713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6B" w:rsidRPr="00BF130A" w:rsidRDefault="007923BA" w:rsidP="00BF130A">
    <w:pPr>
      <w:pStyle w:val="Header"/>
      <w:spacing w:line="480" w:lineRule="auto"/>
      <w:rPr>
        <w:rFonts w:ascii="Times New Roman" w:hAnsi="Times New Roman" w:cs="Times New Roman"/>
        <w:sz w:val="24"/>
        <w:szCs w:val="24"/>
      </w:rPr>
    </w:pPr>
    <w:r w:rsidRPr="00422B6B">
      <w:rPr>
        <w:rFonts w:ascii="Times New Roman" w:hAnsi="Times New Roman" w:cs="Times New Roman"/>
        <w:sz w:val="24"/>
        <w:szCs w:val="24"/>
      </w:rPr>
      <w:t>Running head:  HEALTH POLICY</w:t>
    </w:r>
    <w:r w:rsidR="00BF130A">
      <w:rPr>
        <w:rFonts w:ascii="Times New Roman" w:hAnsi="Times New Roman" w:cs="Times New Roman"/>
        <w:sz w:val="24"/>
        <w:szCs w:val="24"/>
      </w:rPr>
      <w:tab/>
    </w:r>
    <w:r w:rsidR="00BF130A">
      <w:rPr>
        <w:rFonts w:ascii="Times New Roman" w:hAnsi="Times New Roman" w:cs="Times New Roman"/>
        <w:sz w:val="24"/>
        <w:szCs w:val="24"/>
      </w:rPr>
      <w:tab/>
    </w:r>
    <w:r w:rsidRPr="00422B6B">
      <w:rPr>
        <w:rFonts w:ascii="Times New Roman" w:hAnsi="Times New Roman" w:cs="Times New Roman"/>
        <w:sz w:val="24"/>
        <w:szCs w:val="24"/>
      </w:rPr>
      <w:t xml:space="preserve"> </w:t>
    </w:r>
    <w:sdt>
      <w:sdtPr>
        <w:rPr>
          <w:rFonts w:ascii="Times New Roman" w:hAnsi="Times New Roman" w:cs="Times New Roman"/>
          <w:sz w:val="24"/>
          <w:szCs w:val="24"/>
        </w:rPr>
        <w:id w:val="-507746585"/>
        <w:docPartObj>
          <w:docPartGallery w:val="Page Numbers (Top of Page)"/>
          <w:docPartUnique/>
        </w:docPartObj>
      </w:sdtPr>
      <w:sdtEndPr>
        <w:rPr>
          <w:noProof/>
        </w:rPr>
      </w:sdtEndPr>
      <w:sdtContent>
        <w:r w:rsidRPr="00422B6B">
          <w:rPr>
            <w:rFonts w:ascii="Times New Roman" w:hAnsi="Times New Roman" w:cs="Times New Roman"/>
            <w:sz w:val="24"/>
            <w:szCs w:val="24"/>
          </w:rPr>
          <w:fldChar w:fldCharType="begin"/>
        </w:r>
        <w:r w:rsidRPr="00422B6B">
          <w:rPr>
            <w:rFonts w:ascii="Times New Roman" w:hAnsi="Times New Roman" w:cs="Times New Roman"/>
            <w:sz w:val="24"/>
            <w:szCs w:val="24"/>
          </w:rPr>
          <w:instrText xml:space="preserve"> PAGE   \* MERGEFORMAT </w:instrText>
        </w:r>
        <w:r w:rsidRPr="00422B6B">
          <w:rPr>
            <w:rFonts w:ascii="Times New Roman" w:hAnsi="Times New Roman" w:cs="Times New Roman"/>
            <w:sz w:val="24"/>
            <w:szCs w:val="24"/>
          </w:rPr>
          <w:fldChar w:fldCharType="separate"/>
        </w:r>
        <w:r w:rsidR="00BF130A">
          <w:rPr>
            <w:rFonts w:ascii="Times New Roman" w:hAnsi="Times New Roman" w:cs="Times New Roman"/>
            <w:noProof/>
            <w:sz w:val="24"/>
            <w:szCs w:val="24"/>
          </w:rPr>
          <w:t>1</w:t>
        </w:r>
        <w:r w:rsidRPr="00422B6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B6B"/>
    <w:rsid w:val="00025998"/>
    <w:rsid w:val="00035E48"/>
    <w:rsid w:val="00061AAE"/>
    <w:rsid w:val="000E58D1"/>
    <w:rsid w:val="00141DBF"/>
    <w:rsid w:val="001A2EC6"/>
    <w:rsid w:val="001D1E5F"/>
    <w:rsid w:val="001D2666"/>
    <w:rsid w:val="001D7CD0"/>
    <w:rsid w:val="00273105"/>
    <w:rsid w:val="002E00BF"/>
    <w:rsid w:val="002F6592"/>
    <w:rsid w:val="00353A57"/>
    <w:rsid w:val="003E41AA"/>
    <w:rsid w:val="00422B6B"/>
    <w:rsid w:val="004713AF"/>
    <w:rsid w:val="00535889"/>
    <w:rsid w:val="005611F3"/>
    <w:rsid w:val="00576083"/>
    <w:rsid w:val="005A0237"/>
    <w:rsid w:val="00617CC2"/>
    <w:rsid w:val="00681B89"/>
    <w:rsid w:val="006D07A6"/>
    <w:rsid w:val="006E0DB7"/>
    <w:rsid w:val="00706F60"/>
    <w:rsid w:val="00740417"/>
    <w:rsid w:val="007923BA"/>
    <w:rsid w:val="00797653"/>
    <w:rsid w:val="007C6842"/>
    <w:rsid w:val="0080412D"/>
    <w:rsid w:val="008A6E3A"/>
    <w:rsid w:val="008F136D"/>
    <w:rsid w:val="00AB24EC"/>
    <w:rsid w:val="00B03E0D"/>
    <w:rsid w:val="00B1353C"/>
    <w:rsid w:val="00B92E38"/>
    <w:rsid w:val="00BD4F4E"/>
    <w:rsid w:val="00BE1275"/>
    <w:rsid w:val="00BE40C6"/>
    <w:rsid w:val="00BF130A"/>
    <w:rsid w:val="00CB5EE6"/>
    <w:rsid w:val="00E6275A"/>
    <w:rsid w:val="00EC77BC"/>
    <w:rsid w:val="00F210C4"/>
    <w:rsid w:val="00F23ED4"/>
    <w:rsid w:val="00F42CED"/>
    <w:rsid w:val="00FC3A94"/>
    <w:rsid w:val="00FD3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2B55"/>
  <w15:docId w15:val="{20B876CA-F170-4DBE-AE76-4B2EAD2CD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B6B"/>
  </w:style>
  <w:style w:type="paragraph" w:styleId="Footer">
    <w:name w:val="footer"/>
    <w:basedOn w:val="Normal"/>
    <w:link w:val="FooterChar"/>
    <w:uiPriority w:val="99"/>
    <w:unhideWhenUsed/>
    <w:rsid w:val="00422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B6B"/>
  </w:style>
  <w:style w:type="character" w:styleId="Hyperlink">
    <w:name w:val="Hyperlink"/>
    <w:basedOn w:val="DefaultParagraphFont"/>
    <w:uiPriority w:val="99"/>
    <w:unhideWhenUsed/>
    <w:rsid w:val="001A2E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lderaffairs.state.fl.us/doea/nh.ph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lrules.org/gateway/ChapterHome.asp?Chapter=59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lrules.org/gateway/ChapterHome.asp?Chapter=59A-4"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cms.gov/Outreach-and-Education/Medicare-Learning-Network-MLN/MLNMattersArticles/downloads/SE17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2019-03-05T19:07:00Z</dcterms:created>
  <dcterms:modified xsi:type="dcterms:W3CDTF">2019-03-05T19:07:00Z</dcterms:modified>
</cp:coreProperties>
</file>